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40"/>
        <w:ind w:right="-284"/>
        <w:rPr>
          <w:rFonts w:ascii="Trebuchet MS" w:hAnsi="Trebuchet MS" w:eastAsia="Trebuchet MS" w:cs="Trebuchet MS"/>
        </w:rPr>
      </w:pPr>
      <w:r>
        <w:rPr>
          <w:rFonts w:ascii="Trebuchet MS" w:hAnsi="Trebuchet MS" w:eastAsia="Trebuchet MS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-1905</wp:posOffset>
                </wp:positionV>
                <wp:extent cx="2048400" cy="288000"/>
                <wp:effectExtent l="0" t="0" r="0" b="0"/>
                <wp:wrapThrough wrapText="bothSides">
                  <wp:wrapPolygon edited="1">
                    <wp:start x="0" y="0"/>
                    <wp:lineTo x="0" y="20026"/>
                    <wp:lineTo x="21299" y="20026"/>
                    <wp:lineTo x="21299" y="0"/>
                    <wp:lineTo x="0" y="0"/>
                  </wp:wrapPolygon>
                </wp:wrapThrough>
                <wp:docPr id="1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8400" cy="288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0.00pt;mso-position-horizontal:absolute;mso-position-vertical-relative:text;margin-top:-0.15pt;mso-position-vertical:absolute;width:161.29pt;height:22.68pt;mso-wrap-distance-left:9.00pt;mso-wrap-distance-top:0.00pt;mso-wrap-distance-right:9.00pt;mso-wrap-distance-bottom:0.00pt;" wrapcoords="0 0 0 92713 98606 92713 98606 0 0 0">
                <v:path textboxrect="0,0,0,0"/>
                <w10:wrap type="through"/>
                <v:imagedata r:id="rId9" o:title=""/>
              </v:shape>
            </w:pict>
          </mc:Fallback>
        </mc:AlternateContent>
      </w:r>
      <w:r>
        <w:rPr>
          <w:rFonts w:ascii="Trebuchet MS" w:hAnsi="Trebuchet MS" w:eastAsia="Trebuchet MS" w:cs="Trebuchet MS"/>
        </w:rPr>
      </w:r>
    </w:p>
    <w:p>
      <w:pPr>
        <w:pStyle w:val="640"/>
        <w:ind w:right="-284"/>
        <w:rPr>
          <w:rFonts w:ascii="Verdana" w:hAnsi="Verdana" w:eastAsia="Verdana" w:cs="Verdana"/>
          <w:sz w:val="18"/>
          <w:szCs w:val="18"/>
        </w:rPr>
      </w:pPr>
      <w:r>
        <w:rPr>
          <w:rFonts w:ascii="Verdana" w:hAnsi="Verdana" w:eastAsia="Verdana" w:cs="Verdana"/>
          <w:sz w:val="18"/>
          <w:szCs w:val="18"/>
        </w:rPr>
      </w:r>
      <w:r>
        <w:rPr>
          <w:rFonts w:ascii="Verdana" w:hAnsi="Verdana" w:eastAsia="Verdana" w:cs="Verdana"/>
          <w:sz w:val="18"/>
          <w:szCs w:val="18"/>
        </w:rPr>
      </w:r>
    </w:p>
    <w:p>
      <w:pPr>
        <w:pStyle w:val="640"/>
        <w:ind w:right="-284"/>
        <w:rPr>
          <w:rFonts w:ascii="Verdana" w:hAnsi="Verdana" w:eastAsia="Verdana" w:cs="Verdana"/>
          <w:sz w:val="18"/>
          <w:szCs w:val="18"/>
        </w:rPr>
      </w:pPr>
      <w:r>
        <w:rPr>
          <w:rFonts w:ascii="Verdana" w:hAnsi="Verdana" w:eastAsia="Verdana" w:cs="Verdana"/>
          <w:sz w:val="18"/>
          <w:szCs w:val="18"/>
        </w:rPr>
      </w:r>
      <w:r>
        <w:rPr>
          <w:rFonts w:ascii="Verdana" w:hAnsi="Verdana" w:eastAsia="Verdana" w:cs="Verdana"/>
          <w:sz w:val="18"/>
          <w:szCs w:val="18"/>
        </w:rPr>
      </w:r>
    </w:p>
    <w:tbl>
      <w:tblPr>
        <w:tblW w:w="9848" w:type="dxa"/>
        <w:tblInd w:w="-10" w:type="dxa"/>
        <w:tblBorders>
          <w:top w:val="single" w:color="0088CC" w:sz="8" w:space="0"/>
          <w:insideH w:val="single" w:color="0088CC" w:sz="8" w:space="0"/>
        </w:tblBorders>
        <w:tblLayout w:type="fixed"/>
        <w:tblLook w:val="0000" w:firstRow="0" w:lastRow="0" w:firstColumn="0" w:lastColumn="0" w:noHBand="0" w:noVBand="0"/>
      </w:tblPr>
      <w:tblGrid>
        <w:gridCol w:w="3237"/>
        <w:gridCol w:w="6611"/>
      </w:tblGrid>
      <w:tr>
        <w:tblPrEx/>
        <w:trPr>
          <w:trHeight w:val="426"/>
        </w:trPr>
        <w:tc>
          <w:tcPr>
            <w:shd w:val="clear" w:color="auto" w:fill="0088cc"/>
            <w:tcW w:w="3237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 w:val="18"/>
                <w:szCs w:val="18"/>
              </w:rPr>
              <w:t xml:space="preserve">Реквизиты</w:t>
            </w:r>
            <w:r>
              <w:rPr>
                <w:rFonts w:ascii="Arial" w:hAnsi="Arial" w:cs="Arial"/>
                <w:color w:val="ffffff" w:themeColor="background1"/>
                <w:sz w:val="18"/>
                <w:szCs w:val="18"/>
              </w:rPr>
            </w:r>
          </w:p>
        </w:tc>
        <w:tc>
          <w:tcPr>
            <w:shd w:val="clear" w:color="auto" w:fill="0088cc"/>
            <w:tcW w:w="6611" w:type="dxa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auto"/>
            <w:tcW w:w="3237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Полное название предприятия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shd w:val="clear" w:color="auto" w:fill="auto"/>
            <w:tcW w:w="6611" w:type="dxa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Общество с ограниченной ответственностью «ПриборАвтоматика»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auto"/>
            <w:tcW w:w="3237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Краткое название предприятия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shd w:val="clear" w:color="auto" w:fill="auto"/>
            <w:tcW w:w="6611" w:type="dxa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ООО «ПриборАвтоматика»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blPrEx/>
        <w:trPr>
          <w:trHeight w:val="1124"/>
        </w:trPr>
        <w:tc>
          <w:tcPr>
            <w:shd w:val="clear" w:color="auto" w:fill="auto"/>
            <w:tcW w:w="3237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Вид деятельности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shd w:val="clear" w:color="auto" w:fill="auto"/>
            <w:tcW w:w="6611" w:type="dxa"/>
            <w:textDirection w:val="lrTb"/>
            <w:noWrap w:val="false"/>
          </w:tcPr>
          <w:p>
            <w:pPr>
              <w:pStyle w:val="650"/>
              <w:numPr>
                <w:ilvl w:val="0"/>
                <w:numId w:val="2"/>
              </w:numPr>
              <w:ind w:left="314" w:hanging="283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Обслуживание, ремонт и наладка средств измерений, автоматизированных систем управления и узлов учета (замера);</w:t>
            </w:r>
            <w:r>
              <w:rPr>
                <w:rFonts w:ascii="Arial" w:hAnsi="Arial" w:cs="Arial"/>
                <w:sz w:val="18"/>
                <w:szCs w:val="18"/>
              </w:rPr>
            </w:r>
          </w:p>
          <w:p>
            <w:pPr>
              <w:pStyle w:val="650"/>
              <w:numPr>
                <w:ilvl w:val="0"/>
                <w:numId w:val="2"/>
              </w:numPr>
              <w:ind w:left="314" w:hanging="283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Калибровка средств измерений и технологических каналов;</w:t>
            </w:r>
            <w:r>
              <w:rPr>
                <w:rFonts w:ascii="Arial" w:hAnsi="Arial" w:cs="Arial"/>
                <w:sz w:val="18"/>
                <w:szCs w:val="18"/>
              </w:rPr>
            </w:r>
          </w:p>
          <w:p>
            <w:pPr>
              <w:pStyle w:val="650"/>
              <w:numPr>
                <w:ilvl w:val="0"/>
                <w:numId w:val="2"/>
              </w:numPr>
              <w:ind w:left="314" w:hanging="283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Подготовка к поверке и поверка средств измерений;</w:t>
            </w:r>
            <w:r>
              <w:rPr>
                <w:rFonts w:ascii="Arial" w:hAnsi="Arial" w:cs="Arial"/>
                <w:sz w:val="18"/>
                <w:szCs w:val="18"/>
              </w:rPr>
            </w:r>
          </w:p>
          <w:p>
            <w:pPr>
              <w:pStyle w:val="650"/>
              <w:numPr>
                <w:ilvl w:val="0"/>
                <w:numId w:val="2"/>
              </w:numPr>
              <w:ind w:left="314" w:hanging="283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Аттестация испытательного оборудования;</w:t>
            </w:r>
            <w:r>
              <w:rPr>
                <w:rFonts w:ascii="Arial" w:hAnsi="Arial" w:cs="Arial"/>
                <w:sz w:val="18"/>
                <w:szCs w:val="18"/>
              </w:rPr>
            </w:r>
          </w:p>
          <w:p>
            <w:pPr>
              <w:pStyle w:val="650"/>
              <w:ind w:left="72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•    Монтаж, ТО и ремонт ОПС</w:t>
            </w:r>
            <w:r>
              <w:rPr>
                <w:rFonts w:ascii="Arial" w:hAnsi="Arial" w:cs="Arial"/>
                <w:sz w:val="18"/>
                <w:szCs w:val="18"/>
              </w:rPr>
            </w:r>
          </w:p>
          <w:p>
            <w:pPr>
              <w:pStyle w:val="650"/>
              <w:numPr>
                <w:ilvl w:val="0"/>
                <w:numId w:val="3"/>
              </w:numPr>
              <w:ind w:left="356" w:hanging="284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ПНР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blPrEx/>
        <w:trPr>
          <w:trHeight w:val="620"/>
        </w:trPr>
        <w:tc>
          <w:tcPr>
            <w:shd w:val="clear" w:color="auto" w:fill="auto"/>
            <w:tcW w:w="3237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Юридический адрес</w:t>
            </w:r>
            <w:r>
              <w:rPr>
                <w:rFonts w:ascii="Arial" w:hAnsi="Arial" w:cs="Arial"/>
                <w:sz w:val="18"/>
                <w:szCs w:val="18"/>
              </w:rPr>
              <w:t xml:space="preserve"> (адрес местонахождения)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shd w:val="clear" w:color="auto" w:fill="auto"/>
            <w:tcW w:w="6611" w:type="dxa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Российская Федерация, 121087, город Москва, </w:t>
            </w:r>
            <w:r>
              <w:rPr>
                <w:rFonts w:ascii="Arial" w:hAnsi="Arial" w:cs="Arial"/>
                <w:sz w:val="18"/>
                <w:szCs w:val="18"/>
              </w:rPr>
              <w:t xml:space="preserve">вн.тер.г</w:t>
            </w:r>
            <w:r>
              <w:rPr>
                <w:rFonts w:ascii="Arial" w:hAnsi="Arial" w:cs="Arial"/>
                <w:sz w:val="18"/>
                <w:szCs w:val="18"/>
              </w:rPr>
              <w:t xml:space="preserve">. муниципальный округ </w:t>
            </w:r>
            <w:r>
              <w:rPr>
                <w:rFonts w:ascii="Arial" w:hAnsi="Arial" w:cs="Arial"/>
                <w:sz w:val="18"/>
                <w:szCs w:val="18"/>
              </w:rPr>
              <w:t xml:space="preserve">Филевский</w:t>
            </w:r>
            <w:r>
              <w:rPr>
                <w:rFonts w:ascii="Arial" w:hAnsi="Arial" w:cs="Arial"/>
                <w:sz w:val="18"/>
                <w:szCs w:val="18"/>
              </w:rPr>
              <w:t xml:space="preserve"> парк, </w:t>
            </w:r>
            <w:r>
              <w:rPr>
                <w:rFonts w:ascii="Arial" w:hAnsi="Arial" w:cs="Arial"/>
                <w:sz w:val="18"/>
                <w:szCs w:val="18"/>
              </w:rPr>
              <w:t xml:space="preserve">пр</w:t>
            </w:r>
            <w:r>
              <w:rPr>
                <w:rFonts w:ascii="Arial" w:hAnsi="Arial" w:cs="Arial"/>
                <w:sz w:val="18"/>
                <w:szCs w:val="18"/>
              </w:rPr>
              <w:t xml:space="preserve">-д Береговой, д. 7, </w:t>
            </w:r>
            <w:r>
              <w:rPr>
                <w:rFonts w:ascii="Arial" w:hAnsi="Arial" w:cs="Arial"/>
                <w:sz w:val="18"/>
                <w:szCs w:val="18"/>
              </w:rPr>
              <w:t xml:space="preserve">помещ</w:t>
            </w:r>
            <w:r>
              <w:rPr>
                <w:rFonts w:ascii="Arial" w:hAnsi="Arial" w:cs="Arial"/>
                <w:sz w:val="18"/>
                <w:szCs w:val="18"/>
              </w:rPr>
              <w:t xml:space="preserve">. 1Н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blPrEx/>
        <w:trPr>
          <w:trHeight w:val="620"/>
        </w:trPr>
        <w:tc>
          <w:tcPr>
            <w:shd w:val="clear" w:color="auto" w:fill="auto"/>
            <w:tcW w:w="3237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Почтовый адрес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shd w:val="clear" w:color="auto" w:fill="auto"/>
            <w:tcW w:w="6611" w:type="dxa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Российская Федерация, 625023, Тюменская область, г. Тюмень, ул. Одесская, д. 3, стр. 1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auto"/>
            <w:tcW w:w="3237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Банковские реквизиты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shd w:val="clear" w:color="auto" w:fill="auto"/>
            <w:tcW w:w="6611" w:type="dxa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р/счет </w:t>
            </w:r>
            <w:r>
              <w:rPr>
                <w:rFonts w:ascii="Arial" w:hAnsi="Arial" w:cs="Arial"/>
                <w:sz w:val="18"/>
                <w:szCs w:val="18"/>
              </w:rPr>
              <w:t xml:space="preserve">40702810520000095248</w:t>
            </w:r>
            <w:r>
              <w:rPr>
                <w:rFonts w:ascii="Arial" w:hAnsi="Arial" w:cs="Arial"/>
                <w:sz w:val="18"/>
                <w:szCs w:val="18"/>
              </w:rPr>
              <w:t xml:space="preserve"> в </w:t>
            </w:r>
            <w:r>
              <w:rPr>
                <w:rFonts w:ascii="Arial" w:hAnsi="Arial" w:cs="Arial"/>
                <w:sz w:val="18"/>
                <w:szCs w:val="18"/>
              </w:rPr>
              <w:t xml:space="preserve">ООО «Банк Точка»,</w:t>
            </w:r>
            <w:r>
              <w:rPr>
                <w:rFonts w:ascii="Arial" w:hAnsi="Arial" w:cs="Arial"/>
                <w:sz w:val="18"/>
                <w:szCs w:val="18"/>
              </w:rPr>
              <w:t xml:space="preserve"> к/счет 301018</w:t>
            </w:r>
            <w:r>
              <w:rPr>
                <w:rFonts w:ascii="Arial" w:hAnsi="Arial" w:cs="Arial"/>
                <w:sz w:val="18"/>
                <w:szCs w:val="18"/>
              </w:rPr>
              <w:t xml:space="preserve">10745374525104</w:t>
            </w:r>
            <w:r>
              <w:rPr>
                <w:rFonts w:ascii="Arial" w:hAnsi="Arial" w:cs="Arial"/>
                <w:sz w:val="18"/>
                <w:szCs w:val="18"/>
              </w:rPr>
              <w:t xml:space="preserve">, БИК </w:t>
            </w:r>
            <w:r>
              <w:rPr>
                <w:rFonts w:ascii="Arial" w:hAnsi="Arial" w:cs="Arial"/>
                <w:sz w:val="18"/>
                <w:szCs w:val="18"/>
              </w:rPr>
              <w:t xml:space="preserve">044525104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auto"/>
            <w:tcW w:w="3237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Код отрасли по ОКВЭД</w:t>
            </w:r>
            <w:r>
              <w:rPr>
                <w:rFonts w:ascii="Arial" w:hAnsi="Arial" w:cs="Arial"/>
                <w:sz w:val="18"/>
                <w:szCs w:val="18"/>
              </w:rPr>
            </w:r>
          </w:p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ОКПД2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shd w:val="clear" w:color="auto" w:fill="auto"/>
            <w:tcW w:w="6611" w:type="dxa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71.12.62 Деятельность в области метрологии</w:t>
            </w:r>
            <w:r>
              <w:rPr>
                <w:rFonts w:ascii="Arial" w:hAnsi="Arial" w:cs="Arial"/>
                <w:sz w:val="18"/>
                <w:szCs w:val="18"/>
              </w:rPr>
            </w:r>
          </w:p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71.12.40.120 Услуги в области метрологии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auto"/>
            <w:tcW w:w="3237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Другие сведения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shd w:val="clear" w:color="auto" w:fill="auto"/>
            <w:tcW w:w="6611" w:type="dxa"/>
            <w:textDirection w:val="lrTb"/>
            <w:noWrap w:val="false"/>
          </w:tcPr>
          <w:p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ИНН 8903029291 КПП </w:t>
            </w:r>
            <w:r>
              <w:rPr>
                <w:rFonts w:ascii="Arial" w:hAnsi="Arial" w:cs="Arial"/>
                <w:sz w:val="18"/>
                <w:szCs w:val="18"/>
              </w:rPr>
              <w:t xml:space="preserve">773001001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</w:r>
          </w:p>
          <w:p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ОКАТО </w:t>
            </w:r>
            <w:r>
              <w:rPr>
                <w:rFonts w:ascii="Arial" w:hAnsi="Arial" w:cs="Arial"/>
                <w:sz w:val="18"/>
                <w:szCs w:val="18"/>
              </w:rPr>
              <w:t xml:space="preserve">45268595000</w:t>
            </w:r>
            <w:r>
              <w:rPr>
                <w:rFonts w:ascii="Arial" w:hAnsi="Arial" w:cs="Arial"/>
                <w:sz w:val="18"/>
                <w:szCs w:val="18"/>
              </w:rPr>
            </w:r>
          </w:p>
          <w:p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ОГРН 1098903000460</w:t>
            </w:r>
            <w:r>
              <w:rPr>
                <w:rFonts w:ascii="Arial" w:hAnsi="Arial" w:cs="Arial"/>
                <w:sz w:val="18"/>
                <w:szCs w:val="18"/>
              </w:rPr>
            </w:r>
          </w:p>
          <w:p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ОКПО 60901399</w:t>
            </w:r>
            <w:r>
              <w:rPr>
                <w:rFonts w:ascii="Arial" w:hAnsi="Arial" w:cs="Arial"/>
                <w:sz w:val="18"/>
                <w:szCs w:val="18"/>
              </w:rPr>
            </w:r>
          </w:p>
          <w:p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ОКДП 7424000</w:t>
            </w:r>
            <w:r>
              <w:rPr>
                <w:rFonts w:ascii="Arial" w:hAnsi="Arial" w:cs="Arial"/>
                <w:sz w:val="18"/>
                <w:szCs w:val="18"/>
              </w:rPr>
            </w:r>
          </w:p>
          <w:p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ОКТМО 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 xml:space="preserve">45328000</w:t>
            </w:r>
            <w:r>
              <w:rPr>
                <w:rFonts w:ascii="Arial" w:hAnsi="Arial" w:cs="Arial"/>
                <w:sz w:val="18"/>
                <w:szCs w:val="18"/>
              </w:rPr>
            </w:r>
          </w:p>
          <w:p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ОКОГУ 4210014</w:t>
            </w:r>
            <w:r>
              <w:rPr>
                <w:rFonts w:ascii="Arial" w:hAnsi="Arial" w:cs="Arial"/>
                <w:sz w:val="18"/>
                <w:szCs w:val="18"/>
              </w:rPr>
            </w:r>
          </w:p>
          <w:p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ОКОПФ/ОКФС 12300/16</w:t>
            </w:r>
            <w:r>
              <w:rPr>
                <w:rFonts w:ascii="Arial" w:hAnsi="Arial" w:cs="Arial"/>
                <w:sz w:val="18"/>
                <w:szCs w:val="18"/>
              </w:rPr>
            </w:r>
          </w:p>
          <w:p>
            <w:pPr>
              <w:pStyle w:val="649"/>
              <w:contextualSpacing/>
              <w:spacing w:after="120"/>
              <w:widowControl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ОКСМ 643</w:t>
            </w:r>
            <w:r>
              <w:rPr>
                <w:rFonts w:ascii="Arial" w:hAnsi="Arial" w:cs="Arial"/>
                <w:sz w:val="18"/>
                <w:szCs w:val="18"/>
              </w:rPr>
            </w:r>
          </w:p>
          <w:p>
            <w:pPr>
              <w:pStyle w:val="649"/>
              <w:contextualSpacing/>
              <w:spacing w:after="120"/>
              <w:widowControl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Дата постановки на налоговый учет: </w:t>
            </w:r>
            <w:r>
              <w:rPr>
                <w:rFonts w:ascii="Arial" w:hAnsi="Arial" w:cs="Arial"/>
                <w:sz w:val="18"/>
                <w:szCs w:val="18"/>
              </w:rPr>
              <w:t xml:space="preserve">15.05.2025 г.</w:t>
            </w:r>
            <w:r>
              <w:rPr>
                <w:rFonts w:ascii="Arial" w:hAnsi="Arial" w:cs="Arial"/>
                <w:sz w:val="18"/>
                <w:szCs w:val="18"/>
              </w:rPr>
            </w:r>
          </w:p>
          <w:p>
            <w:pPr>
              <w:pStyle w:val="649"/>
              <w:contextualSpacing/>
              <w:spacing w:after="120"/>
              <w:widowControl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Дата гос.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регистрации: 27.05.2009 г.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auto"/>
            <w:tcW w:w="3237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Телефон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/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Факс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</w:r>
          </w:p>
        </w:tc>
        <w:tc>
          <w:tcPr>
            <w:shd w:val="clear" w:color="auto" w:fill="auto"/>
            <w:tcW w:w="6611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 (3452) 57-90-77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auto"/>
            <w:tcW w:w="3237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E-</w:t>
            </w:r>
            <w:r>
              <w:rPr>
                <w:rFonts w:ascii="Arial" w:hAnsi="Arial" w:cs="Arial"/>
                <w:sz w:val="18"/>
                <w:szCs w:val="18"/>
              </w:rPr>
              <w:t xml:space="preserve">mail</w:t>
            </w:r>
            <w:r>
              <w:rPr>
                <w:rFonts w:ascii="Arial" w:hAnsi="Arial" w:cs="Arial"/>
                <w:sz w:val="18"/>
                <w:szCs w:val="18"/>
              </w:rPr>
            </w:r>
          </w:p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web</w:t>
            </w:r>
            <w:r>
              <w:rPr>
                <w:rFonts w:ascii="Arial" w:hAnsi="Arial" w:cs="Arial"/>
                <w:sz w:val="18"/>
                <w:szCs w:val="18"/>
              </w:rPr>
              <w:t xml:space="preserve">-сайт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shd w:val="clear" w:color="auto" w:fill="auto"/>
            <w:tcW w:w="6611" w:type="dxa"/>
            <w:textDirection w:val="lrTb"/>
            <w:noWrap w:val="false"/>
          </w:tcPr>
          <w:p>
            <w:pPr>
              <w:spacing w:before="120" w:after="120"/>
              <w:rPr>
                <w:rStyle w:val="646"/>
                <w:rFonts w:ascii="Arial" w:hAnsi="Arial" w:cs="Arial"/>
                <w:sz w:val="18"/>
                <w:szCs w:val="18"/>
              </w:rPr>
            </w:pPr>
            <w:r>
              <w:rPr>
                <w:rStyle w:val="646"/>
                <w:rFonts w:ascii="Arial" w:hAnsi="Arial" w:cs="Arial"/>
                <w:sz w:val="18"/>
                <w:szCs w:val="18"/>
                <w:lang w:val="en-US"/>
              </w:rPr>
              <w:t xml:space="preserve">Info</w:t>
            </w:r>
            <w:r>
              <w:rPr>
                <w:rStyle w:val="646"/>
                <w:rFonts w:ascii="Arial" w:hAnsi="Arial" w:cs="Arial"/>
                <w:sz w:val="18"/>
                <w:szCs w:val="18"/>
              </w:rPr>
              <w:t xml:space="preserve">@priboravtomatika.ru</w:t>
            </w:r>
            <w:r>
              <w:rPr>
                <w:rStyle w:val="646"/>
                <w:rFonts w:ascii="Arial" w:hAnsi="Arial" w:cs="Arial"/>
                <w:sz w:val="18"/>
                <w:szCs w:val="18"/>
              </w:rPr>
            </w:r>
          </w:p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https://www.priboravtomatika.ru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auto"/>
            <w:tcW w:w="3237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Ф.И.О. Генерального директора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shd w:val="clear" w:color="auto" w:fill="auto"/>
            <w:tcW w:w="6611" w:type="dxa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Костров Андрей Александрович (на основании Устава)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</w:tbl>
    <w:p>
      <w:pPr>
        <w:pStyle w:val="640"/>
        <w:spacing w:line="276" w:lineRule="auto"/>
        <w:rPr>
          <w:rFonts w:ascii="Arial" w:hAnsi="Arial" w:eastAsia="Verdana" w:cs="Arial"/>
          <w:b/>
          <w:sz w:val="16"/>
          <w:szCs w:val="16"/>
        </w:rPr>
      </w:pPr>
      <w:r>
        <w:rPr>
          <w:rFonts w:ascii="Arial" w:hAnsi="Arial" w:eastAsia="Verdana" w:cs="Arial"/>
          <w:b/>
          <w:sz w:val="16"/>
          <w:szCs w:val="16"/>
        </w:rPr>
      </w:r>
      <w:r>
        <w:rPr>
          <w:rFonts w:ascii="Arial" w:hAnsi="Arial" w:eastAsia="Verdana" w:cs="Arial"/>
          <w:b/>
          <w:sz w:val="16"/>
          <w:szCs w:val="16"/>
        </w:rPr>
      </w:r>
    </w:p>
    <w:sectPr>
      <w:footnotePr/>
      <w:endnotePr/>
      <w:type w:val="continuous"/>
      <w:pgSz w:w="11906" w:h="16838" w:orient="portrait"/>
      <w:pgMar w:top="708" w:right="707" w:bottom="284" w:left="1560" w:header="708" w:footer="708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Verdana">
    <w:panose1 w:val="020B0604030504040204"/>
  </w:font>
  <w:font w:name="Symbol">
    <w:panose1 w:val="05010000000000000000"/>
  </w:font>
  <w:font w:name="Trebuchet MS">
    <w:panose1 w:val="020B0603020202020204"/>
  </w:font>
  <w:font w:name="Courier New">
    <w:panose1 w:val="02070309020205020404"/>
  </w:font>
  <w:font w:name="Tahoma">
    <w:panose1 w:val="020B0604030504040204"/>
  </w:font>
  <w:font w:name="Georgia">
    <w:panose1 w:val="02040502050405020303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92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1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3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5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7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9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1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3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52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37"/>
    <w:link w:val="631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37"/>
    <w:link w:val="632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37"/>
    <w:link w:val="633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37"/>
    <w:link w:val="63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37"/>
    <w:link w:val="63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637"/>
    <w:link w:val="63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30"/>
    <w:next w:val="630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37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30"/>
    <w:next w:val="630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37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30"/>
    <w:next w:val="630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37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637"/>
    <w:link w:val="642"/>
    <w:uiPriority w:val="10"/>
    <w:rPr>
      <w:sz w:val="48"/>
      <w:szCs w:val="48"/>
    </w:rPr>
  </w:style>
  <w:style w:type="character" w:styleId="38">
    <w:name w:val="Subtitle Char"/>
    <w:basedOn w:val="637"/>
    <w:link w:val="643"/>
    <w:uiPriority w:val="11"/>
    <w:rPr>
      <w:sz w:val="24"/>
      <w:szCs w:val="24"/>
    </w:rPr>
  </w:style>
  <w:style w:type="paragraph" w:styleId="39">
    <w:name w:val="Quote"/>
    <w:basedOn w:val="630"/>
    <w:next w:val="630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30"/>
    <w:next w:val="630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30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37"/>
    <w:link w:val="43"/>
    <w:uiPriority w:val="99"/>
  </w:style>
  <w:style w:type="paragraph" w:styleId="45">
    <w:name w:val="Footer"/>
    <w:basedOn w:val="630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37"/>
    <w:link w:val="45"/>
    <w:uiPriority w:val="99"/>
  </w:style>
  <w:style w:type="paragraph" w:styleId="47">
    <w:name w:val="Caption"/>
    <w:basedOn w:val="630"/>
    <w:next w:val="630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37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3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30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37"/>
    <w:uiPriority w:val="99"/>
    <w:unhideWhenUsed/>
    <w:rPr>
      <w:vertAlign w:val="superscript"/>
    </w:rPr>
  </w:style>
  <w:style w:type="paragraph" w:styleId="179">
    <w:name w:val="endnote text"/>
    <w:basedOn w:val="630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37"/>
    <w:uiPriority w:val="99"/>
    <w:semiHidden/>
    <w:unhideWhenUsed/>
    <w:rPr>
      <w:vertAlign w:val="superscript"/>
    </w:rPr>
  </w:style>
  <w:style w:type="paragraph" w:styleId="182">
    <w:name w:val="toc 1"/>
    <w:basedOn w:val="630"/>
    <w:next w:val="630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30"/>
    <w:next w:val="630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30"/>
    <w:next w:val="630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30"/>
    <w:next w:val="630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30"/>
    <w:next w:val="630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30"/>
    <w:next w:val="630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30"/>
    <w:next w:val="630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30"/>
    <w:next w:val="630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30"/>
    <w:next w:val="630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30"/>
    <w:next w:val="630"/>
    <w:uiPriority w:val="99"/>
    <w:unhideWhenUsed/>
    <w:pPr>
      <w:spacing w:after="0" w:afterAutospacing="0"/>
    </w:pPr>
  </w:style>
  <w:style w:type="paragraph" w:styleId="630" w:default="1">
    <w:name w:val="Normal"/>
    <w:qFormat/>
  </w:style>
  <w:style w:type="paragraph" w:styleId="631">
    <w:name w:val="Heading 1"/>
    <w:basedOn w:val="640"/>
    <w:next w:val="640"/>
    <w:pPr>
      <w:keepLines/>
      <w:keepNext/>
      <w:spacing w:before="480" w:after="120"/>
      <w:outlineLvl w:val="0"/>
    </w:pPr>
    <w:rPr>
      <w:b/>
      <w:sz w:val="48"/>
      <w:szCs w:val="48"/>
    </w:rPr>
  </w:style>
  <w:style w:type="paragraph" w:styleId="632">
    <w:name w:val="Heading 2"/>
    <w:basedOn w:val="640"/>
    <w:next w:val="640"/>
    <w:pPr>
      <w:keepLines/>
      <w:keepNext/>
      <w:spacing w:before="360" w:after="80"/>
      <w:outlineLvl w:val="1"/>
    </w:pPr>
    <w:rPr>
      <w:b/>
      <w:sz w:val="36"/>
      <w:szCs w:val="36"/>
    </w:rPr>
  </w:style>
  <w:style w:type="paragraph" w:styleId="633">
    <w:name w:val="Heading 3"/>
    <w:basedOn w:val="640"/>
    <w:next w:val="640"/>
    <w:pPr>
      <w:keepLines/>
      <w:keepNext/>
      <w:spacing w:before="280" w:after="80"/>
      <w:outlineLvl w:val="2"/>
    </w:pPr>
    <w:rPr>
      <w:b/>
      <w:sz w:val="28"/>
      <w:szCs w:val="28"/>
    </w:rPr>
  </w:style>
  <w:style w:type="paragraph" w:styleId="634">
    <w:name w:val="Heading 4"/>
    <w:basedOn w:val="640"/>
    <w:next w:val="640"/>
    <w:pPr>
      <w:keepLines/>
      <w:keepNext/>
      <w:spacing w:before="240" w:after="40"/>
      <w:outlineLvl w:val="3"/>
    </w:pPr>
    <w:rPr>
      <w:b/>
      <w:sz w:val="24"/>
      <w:szCs w:val="24"/>
    </w:rPr>
  </w:style>
  <w:style w:type="paragraph" w:styleId="635">
    <w:name w:val="Heading 5"/>
    <w:basedOn w:val="640"/>
    <w:next w:val="640"/>
    <w:pPr>
      <w:keepLines/>
      <w:keepNext/>
      <w:spacing w:before="220" w:after="40"/>
      <w:outlineLvl w:val="4"/>
    </w:pPr>
    <w:rPr>
      <w:b/>
      <w:sz w:val="22"/>
      <w:szCs w:val="22"/>
    </w:rPr>
  </w:style>
  <w:style w:type="paragraph" w:styleId="636">
    <w:name w:val="Heading 6"/>
    <w:basedOn w:val="640"/>
    <w:next w:val="640"/>
    <w:pPr>
      <w:keepLines/>
      <w:keepNext/>
      <w:spacing w:before="200" w:after="40"/>
      <w:outlineLvl w:val="5"/>
    </w:pPr>
    <w:rPr>
      <w:b/>
    </w:rPr>
  </w:style>
  <w:style w:type="character" w:styleId="637" w:default="1">
    <w:name w:val="Default Paragraph Font"/>
    <w:uiPriority w:val="1"/>
    <w:semiHidden/>
    <w:unhideWhenUsed/>
  </w:style>
  <w:style w:type="table" w:styleId="63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9" w:default="1">
    <w:name w:val="No List"/>
    <w:uiPriority w:val="99"/>
    <w:semiHidden/>
    <w:unhideWhenUsed/>
  </w:style>
  <w:style w:type="paragraph" w:styleId="640" w:customStyle="1">
    <w:name w:val="Обычный1"/>
  </w:style>
  <w:style w:type="table" w:styleId="641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642">
    <w:name w:val="Title"/>
    <w:basedOn w:val="640"/>
    <w:next w:val="640"/>
    <w:pPr>
      <w:keepLines/>
      <w:keepNext/>
      <w:spacing w:before="480" w:after="120"/>
    </w:pPr>
    <w:rPr>
      <w:b/>
      <w:sz w:val="72"/>
      <w:szCs w:val="72"/>
    </w:rPr>
  </w:style>
  <w:style w:type="paragraph" w:styleId="643">
    <w:name w:val="Subtitle"/>
    <w:basedOn w:val="640"/>
    <w:next w:val="640"/>
    <w:pPr>
      <w:keepLines/>
      <w:keepNext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644">
    <w:name w:val="Balloon Text"/>
    <w:basedOn w:val="630"/>
    <w:link w:val="645"/>
    <w:uiPriority w:val="99"/>
    <w:semiHidden/>
    <w:unhideWhenUsed/>
    <w:rPr>
      <w:rFonts w:ascii="Tahoma" w:hAnsi="Tahoma" w:cs="Tahoma"/>
      <w:sz w:val="16"/>
      <w:szCs w:val="16"/>
    </w:rPr>
  </w:style>
  <w:style w:type="character" w:styleId="645" w:customStyle="1">
    <w:name w:val="Текст выноски Знак"/>
    <w:basedOn w:val="637"/>
    <w:link w:val="644"/>
    <w:uiPriority w:val="99"/>
    <w:semiHidden/>
    <w:rPr>
      <w:rFonts w:ascii="Tahoma" w:hAnsi="Tahoma" w:cs="Tahoma"/>
      <w:sz w:val="16"/>
      <w:szCs w:val="16"/>
    </w:rPr>
  </w:style>
  <w:style w:type="character" w:styleId="646">
    <w:name w:val="Hyperlink"/>
    <w:basedOn w:val="637"/>
    <w:uiPriority w:val="99"/>
    <w:unhideWhenUsed/>
    <w:rPr>
      <w:color w:val="0000ff" w:themeColor="hyperlink"/>
      <w:u w:val="single"/>
    </w:rPr>
  </w:style>
  <w:style w:type="character" w:styleId="647" w:customStyle="1">
    <w:name w:val="Неразрешенное упоминание1"/>
    <w:basedOn w:val="637"/>
    <w:uiPriority w:val="99"/>
    <w:semiHidden/>
    <w:unhideWhenUsed/>
    <w:rPr>
      <w:color w:val="605e5c"/>
      <w:shd w:val="clear" w:color="auto" w:fill="e1dfdd"/>
    </w:rPr>
  </w:style>
  <w:style w:type="paragraph" w:styleId="648">
    <w:name w:val="No Spacing"/>
    <w:uiPriority w:val="1"/>
    <w:qFormat/>
    <w:rPr>
      <w:rFonts w:asciiTheme="minorHAnsi" w:hAnsiTheme="minorHAnsi" w:eastAsiaTheme="minorEastAsia" w:cstheme="minorBidi"/>
      <w:sz w:val="22"/>
      <w:szCs w:val="22"/>
    </w:rPr>
  </w:style>
  <w:style w:type="paragraph" w:styleId="649" w:customStyle="1">
    <w:name w:val="ConsPlusNonformat"/>
    <w:uiPriority w:val="99"/>
    <w:pPr>
      <w:widowControl w:val="off"/>
    </w:pPr>
    <w:rPr>
      <w:rFonts w:ascii="Courier New" w:hAnsi="Courier New" w:cs="Courier New"/>
    </w:rPr>
  </w:style>
  <w:style w:type="paragraph" w:styleId="650">
    <w:name w:val="List Paragraph"/>
    <w:basedOn w:val="630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Liberation Sans"/>
        <a:cs typeface="Liberation Sans"/>
      </a:majorFont>
      <a:minorFont>
        <a:latin typeface="Cambria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r7-office/2025.3.2.1000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 Kostrov</dc:creator>
  <cp:lastModifiedBy>Козлова Карина Сергеевна</cp:lastModifiedBy>
  <cp:revision>121</cp:revision>
  <dcterms:created xsi:type="dcterms:W3CDTF">2019-03-11T08:41:00Z</dcterms:created>
  <dcterms:modified xsi:type="dcterms:W3CDTF">2026-03-30T04:09:18Z</dcterms:modified>
</cp:coreProperties>
</file>